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487E" w14:textId="71954B79" w:rsidR="00F53EC0" w:rsidRPr="00F53EC0" w:rsidRDefault="00760429" w:rsidP="00F53EC0">
      <w:pPr>
        <w:pStyle w:val="Inhaltsverzeichnisberschri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3EC0">
        <w:rPr>
          <w:rFonts w:ascii="Times New Roman" w:hAnsi="Times New Roman"/>
          <w:b/>
          <w:bCs/>
          <w:color w:val="auto"/>
          <w:sz w:val="28"/>
          <w:szCs w:val="28"/>
          <w:lang w:eastAsia="de-DE"/>
        </w:rPr>
        <w:t xml:space="preserve"> </w:t>
      </w:r>
      <w:r w:rsidR="00F53EC0" w:rsidRPr="00F53EC0">
        <w:rPr>
          <w:rFonts w:ascii="Times New Roman" w:hAnsi="Times New Roman"/>
          <w:b/>
          <w:bCs/>
          <w:color w:val="auto"/>
          <w:sz w:val="28"/>
          <w:szCs w:val="28"/>
          <w:lang w:val="de-DE"/>
        </w:rPr>
        <w:t>Inhalt: Andine / Interkulturelle Theologie / Josef Estermann</w:t>
      </w:r>
    </w:p>
    <w:p w14:paraId="21ECD202" w14:textId="77777777" w:rsidR="00F53EC0" w:rsidRDefault="00F53EC0" w:rsidP="00F53EC0">
      <w:pPr>
        <w:pStyle w:val="Verzeichnis1"/>
        <w:tabs>
          <w:tab w:val="right" w:leader="dot" w:pos="9061"/>
        </w:tabs>
      </w:pPr>
    </w:p>
    <w:p w14:paraId="15414E1A" w14:textId="77777777" w:rsidR="00F53EC0" w:rsidRDefault="00F53EC0" w:rsidP="00F53EC0">
      <w:pPr>
        <w:pStyle w:val="Verzeichnis1"/>
        <w:tabs>
          <w:tab w:val="right" w:leader="dot" w:pos="9061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6" w:anchor="_Toc66950706" w:history="1">
        <w:r>
          <w:rPr>
            <w:rStyle w:val="Hyperlink"/>
            <w:rFonts w:ascii="Times New Roman" w:hAnsi="Times New Roman"/>
            <w:noProof/>
            <w:lang w:val="de-DE"/>
          </w:rPr>
          <w:t>Anmerkung des Autors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_Toc66950706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14:paraId="055DF7D7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7" w:anchor="_Toc66950707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1.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Von der missionierten zur missionarischen Kirche: Der Weg der Theologie in Lateinamerika im 20. Jahrhundert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_Toc66950707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7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0F9B605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8" w:anchor="_Toc66950708" w:history="1">
        <w:r w:rsidR="00F53EC0">
          <w:rPr>
            <w:rStyle w:val="Hyperlink"/>
            <w:rFonts w:ascii="Times New Roman" w:hAnsi="Times New Roman"/>
            <w:noProof/>
            <w:lang w:val="de-DE" w:eastAsia="en-US"/>
          </w:rPr>
          <w:t>2.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 w:eastAsia="en-US"/>
          </w:rPr>
          <w:t>Andine Theologie: Ein Beispiel der Indigenisierung der Theologie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_Toc66950708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6C8992A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9" w:anchor="_Toc66950709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3.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Religiosität in der Andenregion und globaler Markt: Interkulturalität des religiösen Lernens im andinen Kulturraum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_Toc66950709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37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58A88E57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0" w:anchor="_Toc66950710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4.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Die vorrangige Option für die Armen im Zeitalter der so genannten Globalisierung: 11 Thesen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_Toc66950710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49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556979C8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1" w:anchor="_Toc66950711" w:history="1">
        <w:r w:rsidR="00F53EC0">
          <w:rPr>
            <w:rStyle w:val="Hyperlink"/>
            <w:noProof/>
            <w:lang w:val="de-DE"/>
          </w:rPr>
          <w:t>5.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noProof/>
            <w:lang w:val="de-DE"/>
          </w:rPr>
          <w:t>Schritte zu einem polyzentrischen Religionsbegriff: Herausforderungen für die Religionspädagogik aus der Perspektive der interkulturellen philosophischen Diskussion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_Toc66950711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55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4A71CB77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2" w:anchor="_Toc66950712" w:history="1">
        <w:r w:rsidR="00F53EC0">
          <w:rPr>
            <w:rStyle w:val="Hyperlink"/>
            <w:noProof/>
            <w:lang w:val="de-DE"/>
          </w:rPr>
          <w:t>6.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noProof/>
            <w:lang w:val="de-DE"/>
          </w:rPr>
          <w:t>Weltkirche und Globalisierung: Die Rolle des Christentums im «globalen Dorf»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_Toc66950712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73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A977DF5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3" w:anchor="_Toc66950713" w:history="1">
        <w:r w:rsidR="00F53EC0">
          <w:rPr>
            <w:rStyle w:val="Hyperlink"/>
            <w:noProof/>
            <w:lang w:val="de-DE" w:eastAsia="en-US"/>
          </w:rPr>
          <w:t>7.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noProof/>
            <w:lang w:val="de-DE" w:eastAsia="en-US"/>
          </w:rPr>
          <w:t>Religiöser Synkretismus und kulturelle Identität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_Toc66950713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87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70C7DECB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4" w:anchor="_Toc66950714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8.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Religion und Gewalt: Dialektik von Globalisierung und Fundamentalisierung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_Toc66950714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99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3EBAF3D4" w14:textId="77777777" w:rsidR="00F53EC0" w:rsidRDefault="004D7B35" w:rsidP="00F53EC0">
      <w:pPr>
        <w:pStyle w:val="Verzeichnis1"/>
        <w:tabs>
          <w:tab w:val="right" w:leader="dot" w:pos="9061"/>
        </w:tabs>
        <w:ind w:left="284" w:hanging="284"/>
        <w:rPr>
          <w:noProof/>
        </w:rPr>
      </w:pPr>
      <w:hyperlink r:id="rId15" w:anchor="_Toc66950715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9.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Die befreiungstheologische Beurteilung der Volkreligiosität im Andenraum Lateinamerikas: Eine wechselvolle Geschichte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_Toc66950715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113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2528DD04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16" w:anchor="_Toc66950716" w:history="1">
        <w:r w:rsidR="00F53EC0">
          <w:rPr>
            <w:rStyle w:val="Hyperlink"/>
            <w:rFonts w:ascii="Times New Roman" w:hAnsi="Times New Roman"/>
            <w:noProof/>
            <w:lang w:val="de-DE" w:eastAsia="es-ES"/>
          </w:rPr>
          <w:t>10.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 w:eastAsia="es-ES"/>
          </w:rPr>
          <w:t>Neuer Wein in alte Schläuche?</w:t>
        </w:r>
        <w:r w:rsidR="00F53EC0">
          <w:rPr>
            <w:rStyle w:val="Hyperlink"/>
            <w:noProof/>
            <w:lang w:val="de-DE" w:eastAsia="es-ES"/>
          </w:rPr>
          <w:t xml:space="preserve"> </w:t>
        </w:r>
        <w:r w:rsidR="00F53EC0">
          <w:rPr>
            <w:rStyle w:val="Hyperlink"/>
            <w:rFonts w:ascii="Times New Roman" w:hAnsi="Times New Roman"/>
            <w:noProof/>
            <w:lang w:val="de-DE" w:eastAsia="es-ES"/>
          </w:rPr>
          <w:t>Transformationen der lateinamerikanischen Befreiungstheologie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_Toc66950716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129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2BB3A37E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17" w:anchor="_Toc66950717" w:history="1"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11.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Erdrutschartige Veränderungen: Religion und Kirche in Bolivien unter Evo Morales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_Toc66950717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135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2593E5BA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18" w:anchor="_Toc66950718" w:history="1">
        <w:r w:rsidR="00F53EC0">
          <w:rPr>
            <w:rStyle w:val="Hyperlink"/>
            <w:rFonts w:ascii="Times New Roman" w:hAnsi="Times New Roman"/>
            <w:noProof/>
            <w:lang w:val="de-DE" w:eastAsia="ar-SA"/>
          </w:rPr>
          <w:t>12.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 w:eastAsia="ar-SA"/>
          </w:rPr>
          <w:t>Religiöse Vielfalt in Bolivien: Die religiöse Landschaft und die andinen Kulturen und Weisheiten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_Toc66950718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139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35E0D8F4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19" w:anchor="_Toc66950719" w:history="1"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13.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Das andine Antlitz Gottes: Andine Theologie als Schritt zu einer interkulturellen Dekonstruktion abendländischen Denkens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_Toc66950719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165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DEFCDF4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20" w:anchor="_Toc66950720" w:history="1">
        <w:r w:rsidR="00F53EC0">
          <w:rPr>
            <w:rStyle w:val="Hyperlink"/>
            <w:rFonts w:ascii="Times New Roman" w:hAnsi="Times New Roman"/>
            <w:noProof/>
            <w:lang w:val="de-DE" w:eastAsia="en-US"/>
          </w:rPr>
          <w:t>14.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 w:eastAsia="en-US"/>
          </w:rPr>
          <w:t>Das Reich Gottes als allumfassender Horizont: Anstöße der lateinamerikanischen Befreiungstheologie und der indigenen Theologien zur Debatte von Kontextualität und Universalität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_Toc66950720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187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43BCBDCA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21" w:anchor="_Toc66950721" w:history="1"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15.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eastAsia="Calibri" w:hAnsi="Times New Roman"/>
            <w:noProof/>
            <w:lang w:val="de-DE" w:eastAsia="en-US"/>
          </w:rPr>
          <w:t>Gott ist nicht europäisch, und die Theologie ist nicht abendländisch: Eine interkulturelle Dekonstruktion der abendländischen Theologie aufgrund der indigenen andinen Weisheit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_Toc66950721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202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3AC9D868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22" w:anchor="_Toc66950722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16.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«Eine Gemeinschaft von Völkern mit eigener Geschichte»: Medellín 1968 als Samenkorn für kontextuelle Theologien und den interkulturellen Dialog in Kirche und Gesellschaft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_Toc66950722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223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6C7FE871" w14:textId="77777777" w:rsidR="00F53EC0" w:rsidRDefault="004D7B35" w:rsidP="00F53EC0">
      <w:pPr>
        <w:pStyle w:val="Verzeichnis1"/>
        <w:tabs>
          <w:tab w:val="left" w:pos="660"/>
          <w:tab w:val="right" w:leader="dot" w:pos="9061"/>
        </w:tabs>
        <w:ind w:left="284" w:hanging="284"/>
        <w:rPr>
          <w:noProof/>
        </w:rPr>
      </w:pPr>
      <w:hyperlink r:id="rId23" w:anchor="_Toc66950723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17.</w:t>
        </w:r>
        <w:r w:rsidR="00F53EC0">
          <w:rPr>
            <w:rStyle w:val="Hyperlink"/>
            <w:noProof/>
          </w:rPr>
          <w:tab/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 xml:space="preserve">Maria und </w:t>
        </w:r>
        <w:r w:rsidR="00F53EC0">
          <w:rPr>
            <w:rStyle w:val="Hyperlink"/>
            <w:rFonts w:ascii="Times New Roman" w:hAnsi="Times New Roman"/>
            <w:i/>
            <w:iCs/>
            <w:noProof/>
            <w:lang w:val="de-DE"/>
          </w:rPr>
          <w:t>Pachamama</w:t>
        </w:r>
        <w:r w:rsidR="00F53EC0">
          <w:rPr>
            <w:rStyle w:val="Hyperlink"/>
            <w:rFonts w:ascii="Times New Roman" w:hAnsi="Times New Roman"/>
            <w:noProof/>
            <w:lang w:val="de-DE"/>
          </w:rPr>
          <w:t>: Transkulturelle Heilige und deren Darstellung im andinen Kontext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_Toc66950723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239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2052F04" w14:textId="77777777" w:rsidR="00F53EC0" w:rsidRDefault="004D7B35" w:rsidP="00F53EC0">
      <w:pPr>
        <w:pStyle w:val="Verzeichnis1"/>
        <w:tabs>
          <w:tab w:val="right" w:leader="dot" w:pos="9061"/>
        </w:tabs>
        <w:rPr>
          <w:noProof/>
        </w:rPr>
      </w:pPr>
      <w:hyperlink r:id="rId24" w:anchor="_Toc66950724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Quellenangaben der hier aufgenommenen Beiträge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_Toc66950724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265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1BE95897" w14:textId="77777777" w:rsidR="00F53EC0" w:rsidRDefault="004D7B35" w:rsidP="00F53EC0">
      <w:pPr>
        <w:pStyle w:val="Verzeichnis1"/>
        <w:tabs>
          <w:tab w:val="right" w:leader="dot" w:pos="9061"/>
        </w:tabs>
        <w:rPr>
          <w:noProof/>
        </w:rPr>
      </w:pPr>
      <w:hyperlink r:id="rId25" w:anchor="_Toc66950725" w:history="1">
        <w:r w:rsidR="00F53EC0">
          <w:rPr>
            <w:rStyle w:val="Hyperlink"/>
            <w:rFonts w:ascii="Times New Roman" w:hAnsi="Times New Roman"/>
            <w:noProof/>
            <w:lang w:val="de-DE"/>
          </w:rPr>
          <w:t>Kurzbiografie</w:t>
        </w:r>
        <w:r w:rsidR="00F53EC0">
          <w:rPr>
            <w:rStyle w:val="Hyperlink"/>
            <w:noProof/>
            <w:webHidden/>
          </w:rPr>
          <w:tab/>
        </w:r>
        <w:r w:rsidR="00F53EC0">
          <w:rPr>
            <w:rStyle w:val="Hyperlink"/>
            <w:noProof/>
            <w:webHidden/>
          </w:rPr>
          <w:fldChar w:fldCharType="begin"/>
        </w:r>
        <w:r w:rsidR="00F53EC0">
          <w:rPr>
            <w:rStyle w:val="Hyperlink"/>
            <w:noProof/>
            <w:webHidden/>
          </w:rPr>
          <w:instrText xml:space="preserve"> PAGEREF _Toc66950725 \h </w:instrText>
        </w:r>
        <w:r w:rsidR="00F53EC0">
          <w:rPr>
            <w:rStyle w:val="Hyperlink"/>
            <w:noProof/>
            <w:webHidden/>
          </w:rPr>
        </w:r>
        <w:r w:rsidR="00F53EC0">
          <w:rPr>
            <w:rStyle w:val="Hyperlink"/>
            <w:noProof/>
            <w:webHidden/>
          </w:rPr>
          <w:fldChar w:fldCharType="separate"/>
        </w:r>
        <w:r w:rsidR="00F53EC0">
          <w:rPr>
            <w:rStyle w:val="Hyperlink"/>
            <w:noProof/>
            <w:webHidden/>
          </w:rPr>
          <w:t>266</w:t>
        </w:r>
        <w:r w:rsidR="00F53EC0">
          <w:rPr>
            <w:rStyle w:val="Hyperlink"/>
            <w:noProof/>
            <w:webHidden/>
          </w:rPr>
          <w:fldChar w:fldCharType="end"/>
        </w:r>
      </w:hyperlink>
    </w:p>
    <w:p w14:paraId="02E6DD64" w14:textId="61F84BCF" w:rsidR="00660B8D" w:rsidRPr="00660B8D" w:rsidRDefault="00F53EC0" w:rsidP="00F53EC0">
      <w:pPr>
        <w:spacing w:after="240"/>
        <w:jc w:val="both"/>
        <w:rPr>
          <w:rFonts w:ascii="Times New Roman" w:eastAsia="Times New Roman" w:hAnsi="Times New Roman" w:cs="Times New Roman"/>
          <w:sz w:val="24"/>
          <w:lang w:val="es-ES" w:eastAsia="de-DE"/>
        </w:rPr>
      </w:pPr>
      <w:r>
        <w:rPr>
          <w:b/>
          <w:bCs/>
        </w:rPr>
        <w:fldChar w:fldCharType="end"/>
      </w:r>
    </w:p>
    <w:p w14:paraId="28A61C6D" w14:textId="65F63E5A" w:rsidR="00EB02E9" w:rsidRPr="003B6CDD" w:rsidRDefault="00EB02E9" w:rsidP="00660B8D"/>
    <w:sectPr w:rsidR="00EB02E9" w:rsidRPr="003B6CDD" w:rsidSect="00660B8D">
      <w:headerReference w:type="default" r:id="rId26"/>
      <w:pgSz w:w="11900" w:h="16840"/>
      <w:pgMar w:top="1418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29F0" w14:textId="77777777" w:rsidR="00660B8D" w:rsidRDefault="00660B8D" w:rsidP="00F52D91">
      <w:r>
        <w:separator/>
      </w:r>
    </w:p>
  </w:endnote>
  <w:endnote w:type="continuationSeparator" w:id="0">
    <w:p w14:paraId="54AF0579" w14:textId="77777777" w:rsidR="00660B8D" w:rsidRDefault="00660B8D" w:rsidP="00F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747D" w14:textId="77777777" w:rsidR="00660B8D" w:rsidRDefault="00660B8D" w:rsidP="00F52D91">
      <w:r>
        <w:separator/>
      </w:r>
    </w:p>
  </w:footnote>
  <w:footnote w:type="continuationSeparator" w:id="0">
    <w:p w14:paraId="11205CD2" w14:textId="77777777" w:rsidR="00660B8D" w:rsidRDefault="00660B8D" w:rsidP="00F5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6CA7" w14:textId="77777777" w:rsidR="00D219BB" w:rsidRDefault="00D219BB" w:rsidP="00F52D91">
    <w:pPr>
      <w:pStyle w:val="Kopfzeile"/>
      <w:tabs>
        <w:tab w:val="clear" w:pos="4536"/>
        <w:tab w:val="clear" w:pos="9072"/>
        <w:tab w:val="left" w:pos="102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8D"/>
    <w:rsid w:val="00043F1D"/>
    <w:rsid w:val="00176FD6"/>
    <w:rsid w:val="003127A7"/>
    <w:rsid w:val="003B6CDD"/>
    <w:rsid w:val="00440EB3"/>
    <w:rsid w:val="00460602"/>
    <w:rsid w:val="004A6E46"/>
    <w:rsid w:val="004D7B35"/>
    <w:rsid w:val="0054303D"/>
    <w:rsid w:val="00607D25"/>
    <w:rsid w:val="00660B8D"/>
    <w:rsid w:val="00747FA5"/>
    <w:rsid w:val="00760429"/>
    <w:rsid w:val="0088064B"/>
    <w:rsid w:val="00900B76"/>
    <w:rsid w:val="00922947"/>
    <w:rsid w:val="009C0321"/>
    <w:rsid w:val="009F1FA4"/>
    <w:rsid w:val="00A6338F"/>
    <w:rsid w:val="00AA0797"/>
    <w:rsid w:val="00D219BB"/>
    <w:rsid w:val="00EB02E9"/>
    <w:rsid w:val="00F52D91"/>
    <w:rsid w:val="00F53EC0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81E4E1"/>
  <w14:defaultImageDpi w14:val="300"/>
  <w15:chartTrackingRefBased/>
  <w15:docId w15:val="{FDF6499A-ADF8-4CEB-8760-6BC3BA2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F1D"/>
    <w:rPr>
      <w:rFonts w:ascii="Roboto Light" w:hAnsi="Roboto Light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D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D91"/>
  </w:style>
  <w:style w:type="paragraph" w:styleId="Fuzeile">
    <w:name w:val="footer"/>
    <w:basedOn w:val="Standard"/>
    <w:link w:val="FuzeileZchn"/>
    <w:uiPriority w:val="99"/>
    <w:unhideWhenUsed/>
    <w:rsid w:val="00F52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D91"/>
  </w:style>
  <w:style w:type="character" w:styleId="Hyperlink">
    <w:name w:val="Hyperlink"/>
    <w:basedOn w:val="Absatz-Standardschriftart"/>
    <w:uiPriority w:val="99"/>
    <w:unhideWhenUsed/>
    <w:rsid w:val="009C0321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53EC0"/>
    <w:pPr>
      <w:spacing w:after="100" w:line="256" w:lineRule="auto"/>
    </w:pPr>
    <w:rPr>
      <w:rFonts w:ascii="Calibri" w:eastAsia="Times New Roman" w:hAnsi="Calibri" w:cs="Times New Roman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EC0"/>
    <w:pPr>
      <w:spacing w:line="256" w:lineRule="auto"/>
      <w:outlineLvl w:val="9"/>
    </w:pPr>
    <w:rPr>
      <w:rFonts w:ascii="Calibri Light" w:eastAsia="Times New Roman" w:hAnsi="Calibri Light" w:cs="Times New Roman"/>
      <w:color w:val="2F549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MIECHIA.local\USERDATA\HOME\jestermann\Desktop\Anthologie%20Estermann%20Theologie.doc" TargetMode="External"/><Relationship Id="rId13" Type="http://schemas.openxmlformats.org/officeDocument/2006/relationships/hyperlink" Target="file:///\\BMIECHIA.local\USERDATA\HOME\jestermann\Desktop\Anthologie%20Estermann%20Theologie.doc" TargetMode="External"/><Relationship Id="rId18" Type="http://schemas.openxmlformats.org/officeDocument/2006/relationships/hyperlink" Target="file:///\\BMIECHIA.local\USERDATA\HOME\jestermann\Desktop\Anthologie%20Estermann%20Theologie.doc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\\BMIECHIA.local\USERDATA\HOME\jestermann\Desktop\Anthologie%20Estermann%20Theologie.doc" TargetMode="External"/><Relationship Id="rId7" Type="http://schemas.openxmlformats.org/officeDocument/2006/relationships/hyperlink" Target="file:///\\BMIECHIA.local\USERDATA\HOME\jestermann\Desktop\Anthologie%20Estermann%20Theologie.doc" TargetMode="External"/><Relationship Id="rId12" Type="http://schemas.openxmlformats.org/officeDocument/2006/relationships/hyperlink" Target="file:///\\BMIECHIA.local\USERDATA\HOME\jestermann\Desktop\Anthologie%20Estermann%20Theologie.doc" TargetMode="External"/><Relationship Id="rId17" Type="http://schemas.openxmlformats.org/officeDocument/2006/relationships/hyperlink" Target="file:///\\BMIECHIA.local\USERDATA\HOME\jestermann\Desktop\Anthologie%20Estermann%20Theologie.doc" TargetMode="External"/><Relationship Id="rId25" Type="http://schemas.openxmlformats.org/officeDocument/2006/relationships/hyperlink" Target="file:///\\BMIECHIA.local\USERDATA\HOME\jestermann\Desktop\Anthologie%20Estermann%20Theologie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BMIECHIA.local\USERDATA\HOME\jestermann\Desktop\Anthologie%20Estermann%20Theologie.doc" TargetMode="External"/><Relationship Id="rId20" Type="http://schemas.openxmlformats.org/officeDocument/2006/relationships/hyperlink" Target="file:///\\BMIECHIA.local\USERDATA\HOME\jestermann\Desktop\Anthologie%20Estermann%20Theologie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\\BMIECHIA.local\USERDATA\HOME\jestermann\Desktop\Anthologie%20Estermann%20Theologie.doc" TargetMode="External"/><Relationship Id="rId11" Type="http://schemas.openxmlformats.org/officeDocument/2006/relationships/hyperlink" Target="file:///\\BMIECHIA.local\USERDATA\HOME\jestermann\Desktop\Anthologie%20Estermann%20Theologie.doc" TargetMode="External"/><Relationship Id="rId24" Type="http://schemas.openxmlformats.org/officeDocument/2006/relationships/hyperlink" Target="file:///\\BMIECHIA.local\USERDATA\HOME\jestermann\Desktop\Anthologie%20Estermann%20Theologie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BMIECHIA.local\USERDATA\HOME\jestermann\Desktop\Anthologie%20Estermann%20Theologie.doc" TargetMode="External"/><Relationship Id="rId23" Type="http://schemas.openxmlformats.org/officeDocument/2006/relationships/hyperlink" Target="file:///\\BMIECHIA.local\USERDATA\HOME\jestermann\Desktop\Anthologie%20Estermann%20Theologie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BMIECHIA.local\USERDATA\HOME\jestermann\Desktop\Anthologie%20Estermann%20Theologie.doc" TargetMode="External"/><Relationship Id="rId19" Type="http://schemas.openxmlformats.org/officeDocument/2006/relationships/hyperlink" Target="file:///\\BMIECHIA.local\USERDATA\HOME\jestermann\Desktop\Anthologie%20Estermann%20Theologi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BMIECHIA.local\USERDATA\HOME\jestermann\Desktop\Anthologie%20Estermann%20Theologie.doc" TargetMode="External"/><Relationship Id="rId14" Type="http://schemas.openxmlformats.org/officeDocument/2006/relationships/hyperlink" Target="file:///\\BMIECHIA.local\USERDATA\HOME\jestermann\Desktop\Anthologie%20Estermann%20Theologie.doc" TargetMode="External"/><Relationship Id="rId22" Type="http://schemas.openxmlformats.org/officeDocument/2006/relationships/hyperlink" Target="file:///\\BMIECHIA.local\USERDATA\HOME\jestermann\Desktop\Anthologie%20Estermann%20Theologie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4751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Estermann, Josef</dc:creator>
  <cp:keywords/>
  <dc:description/>
  <cp:lastModifiedBy>Helene Büchel</cp:lastModifiedBy>
  <cp:revision>3</cp:revision>
  <dcterms:created xsi:type="dcterms:W3CDTF">2021-03-24T15:16:00Z</dcterms:created>
  <dcterms:modified xsi:type="dcterms:W3CDTF">2021-03-24T15:20:00Z</dcterms:modified>
</cp:coreProperties>
</file>